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0A518D" w:rsidRPr="000A518D"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0662B" w:rsidRPr="00E51D84" w:rsidRDefault="00FC3315" w:rsidP="008322A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40662B" w:rsidRDefault="000A518D" w:rsidP="008322AC">
            <w:pPr>
              <w:rPr>
                <w:b/>
                <w:sz w:val="22"/>
                <w:szCs w:val="22"/>
              </w:rPr>
            </w:pPr>
            <w:r w:rsidRPr="000A518D">
              <w:rPr>
                <w:b/>
                <w:sz w:val="22"/>
                <w:szCs w:val="22"/>
              </w:rPr>
              <w:t>POSTĘPOWANIE 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0662B">
              <w:rPr>
                <w:b/>
                <w:sz w:val="22"/>
                <w:szCs w:val="22"/>
              </w:rPr>
              <w:t>41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40662B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40662B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0A67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A518D">
              <w:rPr>
                <w:sz w:val="22"/>
                <w:szCs w:val="22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A518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63001" w:rsidRDefault="00E52746" w:rsidP="00FC3315">
            <w:pPr>
              <w:rPr>
                <w:sz w:val="22"/>
                <w:szCs w:val="22"/>
              </w:rPr>
            </w:pPr>
            <w:r w:rsidRPr="00563001">
              <w:rPr>
                <w:sz w:val="22"/>
                <w:szCs w:val="22"/>
              </w:rPr>
              <w:t>dr Andrzej Majewski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63001" w:rsidRDefault="00E52746" w:rsidP="00FC3315">
            <w:pPr>
              <w:rPr>
                <w:sz w:val="22"/>
                <w:szCs w:val="22"/>
              </w:rPr>
            </w:pPr>
            <w:r w:rsidRPr="00563001">
              <w:rPr>
                <w:sz w:val="22"/>
                <w:szCs w:val="22"/>
              </w:rPr>
              <w:t>dr Andrzej Majewski</w:t>
            </w:r>
          </w:p>
        </w:tc>
      </w:tr>
      <w:tr w:rsidR="00FC3315" w:rsidRPr="003F0E22" w:rsidTr="009E7B8A">
        <w:tc>
          <w:tcPr>
            <w:tcW w:w="2988" w:type="dxa"/>
            <w:vAlign w:val="center"/>
          </w:tcPr>
          <w:p w:rsidR="00FC3315" w:rsidRPr="003F0E22" w:rsidRDefault="00FC3315" w:rsidP="009E7B8A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3F0E22" w:rsidRDefault="004E5184" w:rsidP="00CC421D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Zapoznanie studentów z podstawowymi zagadnieniami z zakresu postępowania podatkowego oraz przygotowanie do rozwiązywania prostych problemów prawnych w ty zakresie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</w:tr>
      <w:tr w:rsidR="00FC3315" w:rsidRPr="003F0E22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3F0E22" w:rsidRDefault="00FC3315" w:rsidP="009E7B8A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F0E22" w:rsidRDefault="00E52746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Wiedza z zakresu podstaw prawa i prawa administracyjnego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</w:tr>
    </w:tbl>
    <w:p w:rsidR="00FC3315" w:rsidRPr="003F0E22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3F0E22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F0E2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F0E2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F0E22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F0E22" w:rsidRDefault="00FC3315" w:rsidP="00E51D84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F0E22" w:rsidRDefault="00FC3315" w:rsidP="00E51D84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FC3315" w:rsidP="00E51D84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Kod kierunkowego efektu</w:t>
            </w:r>
          </w:p>
          <w:p w:rsidR="00FC3315" w:rsidRPr="003F0E22" w:rsidRDefault="00FC3315" w:rsidP="00E51D84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uczenia się</w:t>
            </w:r>
          </w:p>
        </w:tc>
      </w:tr>
      <w:tr w:rsidR="00FC3315" w:rsidRPr="003F0E2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b/>
                <w:sz w:val="22"/>
                <w:szCs w:val="22"/>
              </w:rPr>
              <w:t>Wiedza</w:t>
            </w:r>
            <w:r w:rsidRPr="003F0E22">
              <w:rPr>
                <w:sz w:val="22"/>
                <w:szCs w:val="22"/>
              </w:rPr>
              <w:t xml:space="preserve"> (</w:t>
            </w:r>
            <w:r w:rsidRPr="003F0E22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3F0E2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9E7B8A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Wyjaśnia podstawowe pojęcia dotyczące stosowania postępowania podatkowego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K1P-W02</w:t>
            </w:r>
          </w:p>
        </w:tc>
      </w:tr>
      <w:tr w:rsidR="00FC3315" w:rsidRPr="003F0E2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9E7B8A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Charakteryzuje uporządkowane procedury właściwe działaniu organów podatkowych w postępowaniu podatkowym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0CA3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K1P-W10</w:t>
            </w:r>
          </w:p>
          <w:p w:rsidR="00FC3315" w:rsidRPr="003F0E22" w:rsidRDefault="00FC3315" w:rsidP="006862A4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3F0E2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FC3315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b/>
                <w:sz w:val="22"/>
                <w:szCs w:val="22"/>
              </w:rPr>
              <w:t>Umiejętności</w:t>
            </w:r>
            <w:r w:rsidRPr="003F0E22">
              <w:rPr>
                <w:sz w:val="22"/>
                <w:szCs w:val="22"/>
              </w:rPr>
              <w:t xml:space="preserve"> </w:t>
            </w:r>
            <w:r w:rsidR="009E7B8A" w:rsidRPr="003F0E22">
              <w:rPr>
                <w:i/>
                <w:sz w:val="22"/>
                <w:szCs w:val="22"/>
              </w:rPr>
              <w:t>(Potraf</w:t>
            </w:r>
            <w:r w:rsidRPr="003F0E22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FC3315" w:rsidP="006862A4">
            <w:pPr>
              <w:jc w:val="both"/>
              <w:rPr>
                <w:sz w:val="22"/>
                <w:szCs w:val="22"/>
              </w:rPr>
            </w:pPr>
          </w:p>
        </w:tc>
      </w:tr>
      <w:tr w:rsidR="009C0CA3" w:rsidRPr="003F0E22" w:rsidTr="009C0CA3">
        <w:trPr>
          <w:cantSplit/>
          <w:trHeight w:val="41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0CA3" w:rsidRPr="003F0E22" w:rsidRDefault="009C0CA3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03</w:t>
            </w:r>
          </w:p>
          <w:p w:rsidR="009C0CA3" w:rsidRPr="003F0E22" w:rsidRDefault="009C0CA3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right w:val="nil"/>
            </w:tcBorders>
          </w:tcPr>
          <w:p w:rsidR="009C0CA3" w:rsidRPr="003F0E22" w:rsidRDefault="009C0CA3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Posługuje się pojęciami z zakresu postępowania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C0CA3" w:rsidRPr="003F0E22" w:rsidRDefault="009C0CA3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K1P-U01</w:t>
            </w:r>
          </w:p>
        </w:tc>
      </w:tr>
      <w:tr w:rsidR="009C0CA3" w:rsidRPr="003F0E22" w:rsidTr="00083DAD">
        <w:trPr>
          <w:cantSplit/>
          <w:trHeight w:val="27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0CA3" w:rsidRPr="003F0E22" w:rsidRDefault="009C0CA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bottom w:val="single" w:sz="4" w:space="0" w:color="auto"/>
              <w:right w:val="nil"/>
            </w:tcBorders>
          </w:tcPr>
          <w:p w:rsidR="009C0CA3" w:rsidRPr="003F0E22" w:rsidRDefault="009C0CA3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Porządkuje w praktyce terminologię postępowania podatkowego.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0CA3" w:rsidRPr="003F0E22" w:rsidRDefault="009C0CA3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K1P_U02</w:t>
            </w:r>
          </w:p>
        </w:tc>
      </w:tr>
      <w:tr w:rsidR="00FC3315" w:rsidRPr="003F0E2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9E7B8A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</w:t>
            </w:r>
            <w:r w:rsidR="00BC5DF8" w:rsidRPr="003F0E22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Wybiera przepisy prawne adekwatne do zastosowania w określonej procedurze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K1P-U06</w:t>
            </w:r>
          </w:p>
        </w:tc>
      </w:tr>
      <w:tr w:rsidR="00FC3315" w:rsidRPr="003F0E2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FC3315" w:rsidP="006862A4">
            <w:pPr>
              <w:jc w:val="both"/>
              <w:rPr>
                <w:b/>
                <w:sz w:val="22"/>
                <w:szCs w:val="22"/>
              </w:rPr>
            </w:pPr>
            <w:r w:rsidRPr="003F0E2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FC3315" w:rsidP="006862A4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3F0E2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F0E22" w:rsidRDefault="009E7B8A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</w:t>
            </w:r>
            <w:r w:rsidR="00BC5DF8" w:rsidRPr="003F0E22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rFonts w:eastAsia="Calibri"/>
                <w:sz w:val="22"/>
                <w:szCs w:val="22"/>
              </w:rPr>
              <w:t>Samodzielnie podejmuje inicjatywy wszczęcia odpowiedniej procedury podatkowej w swojej działalności zawodowej, jako pracownik organu podatkowego</w:t>
            </w:r>
            <w:r w:rsidR="003F0E22" w:rsidRPr="003F0E2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F0E22" w:rsidRDefault="0098558E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K1P-K04</w:t>
            </w:r>
          </w:p>
        </w:tc>
      </w:tr>
      <w:tr w:rsidR="009E7B8A" w:rsidRPr="003F0E2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3F0E22" w:rsidRDefault="009E7B8A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</w:t>
            </w:r>
            <w:r w:rsidR="00BC5DF8" w:rsidRPr="003F0E22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3F0E22" w:rsidRDefault="006D0930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Troszczy się o kreowanie pozytywnego wizerunku organu administracji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3F0E22" w:rsidRDefault="0098558E" w:rsidP="006862A4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K1P-K05</w:t>
            </w:r>
          </w:p>
        </w:tc>
      </w:tr>
    </w:tbl>
    <w:p w:rsidR="00FC3315" w:rsidRPr="003F0E2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3F0E22" w:rsidTr="00EA2D0E">
        <w:tc>
          <w:tcPr>
            <w:tcW w:w="10008" w:type="dxa"/>
            <w:vAlign w:val="center"/>
          </w:tcPr>
          <w:p w:rsidR="00FC3315" w:rsidRPr="003F0E2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F0E2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F0E22" w:rsidTr="00EA2D0E">
        <w:tc>
          <w:tcPr>
            <w:tcW w:w="10008" w:type="dxa"/>
            <w:shd w:val="pct15" w:color="auto" w:fill="FFFFFF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Wykład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4E5184" w:rsidP="009E7B8A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Pojęcie, źródła i zasady postępowania podatkowego; Zakres podmiotowy i przedmiotowy postępowania podatkowego. Organy podatkowe prowadzące postępowanie –ich właściwość i wyłączenia;</w:t>
            </w:r>
            <w:r w:rsidR="00E54280" w:rsidRPr="003F0E22">
              <w:rPr>
                <w:sz w:val="22"/>
                <w:szCs w:val="22"/>
              </w:rPr>
              <w:t xml:space="preserve"> Strony i ich pełnomocnicy oraz podmioty występujące na prawach strony; Załatwianie spraw; Doręczenia, wezwania: Wszczęcie postępowania podatkowego, podania; Postępowanie wyjaśniające i zasady postępowania dowodowego; Zawieszenie i umorzenie postępowania podatkowego;</w:t>
            </w:r>
            <w:r w:rsidR="00F07FC7" w:rsidRPr="003F0E22">
              <w:rPr>
                <w:sz w:val="22"/>
                <w:szCs w:val="22"/>
              </w:rPr>
              <w:t xml:space="preserve"> Rozstrzygnięcia organów podatkowych; Zwyczajne i nadzwyczajne środki odwoławcze; Sądowa kontrola postępowania podatkowego. Koszty postępowania; </w:t>
            </w:r>
          </w:p>
        </w:tc>
      </w:tr>
      <w:tr w:rsidR="00FC3315" w:rsidRPr="003F0E22" w:rsidTr="00EA2D0E">
        <w:tc>
          <w:tcPr>
            <w:tcW w:w="10008" w:type="dxa"/>
            <w:shd w:val="pct15" w:color="auto" w:fill="FFFFFF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Ćwiczenia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F07FC7" w:rsidP="00F07FC7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 xml:space="preserve">Rozwiązywanie kazusów z następujących zagadnień: wszczęcie postępowania, właściwość organu, wyłączenie organu oraz pracownika organu, strona i jej przedstawiciele i pełnomocnicy, podmioty na prawach strony, podania, wezwania, zawiadomienia, terminy, metryki sprawy, protokoły i adnotacje, postępowanie dowodowe decyzje, postanowienia,  udostępnianie akt, terminy załatwiania spraw, środki prawne w postępowaniu </w:t>
            </w:r>
            <w:r w:rsidRPr="003F0E22">
              <w:rPr>
                <w:sz w:val="22"/>
                <w:szCs w:val="22"/>
              </w:rPr>
              <w:lastRenderedPageBreak/>
              <w:t>administracyjnym, odpowiedzialność odszkodowawcza;</w:t>
            </w:r>
          </w:p>
        </w:tc>
      </w:tr>
      <w:tr w:rsidR="00FC3315" w:rsidRPr="003F0E22" w:rsidTr="00EA2D0E">
        <w:tc>
          <w:tcPr>
            <w:tcW w:w="10008" w:type="dxa"/>
            <w:shd w:val="pct15" w:color="auto" w:fill="FFFFFF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3F0E22" w:rsidTr="00EA2D0E">
        <w:tc>
          <w:tcPr>
            <w:tcW w:w="10008" w:type="dxa"/>
            <w:shd w:val="pct15" w:color="auto" w:fill="FFFFFF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Projekt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3F0E22" w:rsidTr="00EA2D0E">
        <w:tc>
          <w:tcPr>
            <w:tcW w:w="10008" w:type="dxa"/>
            <w:shd w:val="clear" w:color="auto" w:fill="D9D9D9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Seminarium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3F0E22" w:rsidTr="00EA2D0E">
        <w:tc>
          <w:tcPr>
            <w:tcW w:w="10008" w:type="dxa"/>
            <w:shd w:val="clear" w:color="auto" w:fill="D9D9D9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3F0E22" w:rsidTr="00EA2D0E">
        <w:tc>
          <w:tcPr>
            <w:tcW w:w="10008" w:type="dxa"/>
          </w:tcPr>
          <w:p w:rsidR="00FC3315" w:rsidRPr="003F0E2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3F0E22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3F0E22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CC421D" w:rsidRDefault="000E27F5" w:rsidP="009C0CA3">
            <w:pPr>
              <w:pStyle w:val="Akapitzlist"/>
              <w:numPr>
                <w:ilvl w:val="0"/>
                <w:numId w:val="2"/>
              </w:numPr>
              <w:ind w:left="349" w:hanging="349"/>
              <w:jc w:val="both"/>
              <w:rPr>
                <w:rFonts w:ascii="Times New Roman" w:hAnsi="Times New Roman" w:cs="Times New Roman"/>
                <w:lang w:val="pl-PL"/>
              </w:rPr>
            </w:pPr>
            <w:r w:rsidRPr="00CC421D">
              <w:rPr>
                <w:rFonts w:ascii="Times New Roman" w:hAnsi="Times New Roman" w:cs="Times New Roman"/>
                <w:lang w:val="pl-PL"/>
              </w:rPr>
              <w:t xml:space="preserve">L. </w:t>
            </w:r>
            <w:proofErr w:type="spellStart"/>
            <w:r w:rsidRPr="00CC421D">
              <w:rPr>
                <w:rFonts w:ascii="Times New Roman" w:hAnsi="Times New Roman" w:cs="Times New Roman"/>
                <w:lang w:val="pl-PL"/>
              </w:rPr>
              <w:t>Etel</w:t>
            </w:r>
            <w:proofErr w:type="spellEnd"/>
            <w:r w:rsidRPr="00CC421D">
              <w:rPr>
                <w:rFonts w:ascii="Times New Roman" w:hAnsi="Times New Roman" w:cs="Times New Roman"/>
                <w:lang w:val="pl-PL"/>
              </w:rPr>
              <w:t xml:space="preserve"> ( red.), R. </w:t>
            </w:r>
            <w:proofErr w:type="spellStart"/>
            <w:r w:rsidRPr="00CC421D">
              <w:rPr>
                <w:rFonts w:ascii="Times New Roman" w:hAnsi="Times New Roman" w:cs="Times New Roman"/>
                <w:lang w:val="pl-PL"/>
              </w:rPr>
              <w:t>Dowgier</w:t>
            </w:r>
            <w:proofErr w:type="spellEnd"/>
            <w:r w:rsidRPr="00CC421D">
              <w:rPr>
                <w:rFonts w:ascii="Times New Roman" w:hAnsi="Times New Roman" w:cs="Times New Roman"/>
                <w:lang w:val="pl-PL"/>
              </w:rPr>
              <w:t xml:space="preserve">, G. Liszewski, M. Popławski, S. </w:t>
            </w:r>
            <w:proofErr w:type="spellStart"/>
            <w:r w:rsidRPr="00CC421D">
              <w:rPr>
                <w:rFonts w:ascii="Times New Roman" w:hAnsi="Times New Roman" w:cs="Times New Roman"/>
                <w:lang w:val="pl-PL"/>
              </w:rPr>
              <w:t>Presnarowicz</w:t>
            </w:r>
            <w:proofErr w:type="spellEnd"/>
            <w:r w:rsidRPr="00CC421D">
              <w:rPr>
                <w:rFonts w:ascii="Times New Roman" w:hAnsi="Times New Roman" w:cs="Times New Roman"/>
                <w:lang w:val="pl-PL"/>
              </w:rPr>
              <w:t xml:space="preserve">, Prawo podatkowe, </w:t>
            </w:r>
            <w:proofErr w:type="spellStart"/>
            <w:r w:rsidRPr="00CC421D">
              <w:rPr>
                <w:rFonts w:ascii="Times New Roman" w:hAnsi="Times New Roman" w:cs="Times New Roman"/>
                <w:lang w:val="pl-PL"/>
              </w:rPr>
              <w:t>Diffin</w:t>
            </w:r>
            <w:proofErr w:type="spellEnd"/>
            <w:r w:rsidRPr="00CC421D">
              <w:rPr>
                <w:rFonts w:ascii="Times New Roman" w:hAnsi="Times New Roman" w:cs="Times New Roman"/>
                <w:lang w:val="pl-PL"/>
              </w:rPr>
              <w:t xml:space="preserve"> 2013</w:t>
            </w:r>
            <w:r w:rsidR="006862A4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62A4" w:rsidRDefault="00BC5DF8" w:rsidP="009E7B8A">
            <w:pPr>
              <w:pStyle w:val="Akapitzlist"/>
              <w:numPr>
                <w:ilvl w:val="0"/>
                <w:numId w:val="2"/>
              </w:numPr>
              <w:ind w:left="349" w:hanging="349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CC421D">
              <w:rPr>
                <w:rFonts w:ascii="Times New Roman" w:hAnsi="Times New Roman" w:cs="Times New Roman"/>
                <w:lang w:val="pl-PL"/>
              </w:rPr>
              <w:t xml:space="preserve">H. Dzwonkowski (red), Ordynacja podatkowa. Komentarz, </w:t>
            </w:r>
            <w:r w:rsidR="006862A4">
              <w:rPr>
                <w:rFonts w:ascii="Times New Roman" w:eastAsia="Calibri" w:hAnsi="Times New Roman" w:cs="Times New Roman"/>
                <w:lang w:val="pl-PL"/>
              </w:rPr>
              <w:t>C.H. Beck 2019.</w:t>
            </w:r>
          </w:p>
          <w:p w:rsidR="00FC3315" w:rsidRPr="00CC421D" w:rsidRDefault="00BC5DF8" w:rsidP="009E7B8A">
            <w:pPr>
              <w:pStyle w:val="Akapitzlist"/>
              <w:numPr>
                <w:ilvl w:val="0"/>
                <w:numId w:val="2"/>
              </w:numPr>
              <w:ind w:left="349" w:hanging="349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CC421D">
              <w:rPr>
                <w:rFonts w:ascii="Times New Roman" w:eastAsia="Calibri" w:hAnsi="Times New Roman" w:cs="Times New Roman"/>
                <w:lang w:val="pl-PL"/>
              </w:rPr>
              <w:t>Legalis</w:t>
            </w:r>
            <w:proofErr w:type="spellEnd"/>
            <w:r w:rsidRPr="00CC421D">
              <w:rPr>
                <w:rFonts w:ascii="Times New Roman" w:eastAsia="Calibri" w:hAnsi="Times New Roman" w:cs="Times New Roman"/>
                <w:lang w:val="pl-PL"/>
              </w:rPr>
              <w:t xml:space="preserve"> -System Informacji Prawnej Wydawnictwa C.H. Beck</w:t>
            </w:r>
            <w:r w:rsidR="006862A4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</w:tr>
      <w:tr w:rsidR="00FC3315" w:rsidRPr="003F0E22" w:rsidTr="009E7B8A">
        <w:tc>
          <w:tcPr>
            <w:tcW w:w="2660" w:type="dxa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8548C" w:rsidRPr="00CC421D" w:rsidRDefault="00E8548C" w:rsidP="009C0CA3">
            <w:pPr>
              <w:pStyle w:val="Akapitzlist"/>
              <w:numPr>
                <w:ilvl w:val="0"/>
                <w:numId w:val="3"/>
              </w:numPr>
              <w:ind w:left="349" w:hanging="349"/>
              <w:rPr>
                <w:rStyle w:val="desc-o-publ"/>
                <w:rFonts w:ascii="Times New Roman" w:eastAsiaTheme="majorEastAsia" w:hAnsi="Times New Roman" w:cs="Times New Roman"/>
                <w:lang w:val="pl-PL"/>
              </w:rPr>
            </w:pPr>
            <w:r w:rsidRPr="00CC421D">
              <w:rPr>
                <w:rFonts w:ascii="Times New Roman" w:hAnsi="Times New Roman" w:cs="Times New Roman"/>
                <w:lang w:val="pl-PL"/>
              </w:rPr>
              <w:t xml:space="preserve">M. Wierzbowski (red.), </w:t>
            </w:r>
            <w:hyperlink r:id="rId5" w:history="1">
              <w:r w:rsidRPr="00CC421D">
                <w:rPr>
                  <w:rFonts w:ascii="Times New Roman" w:hAnsi="Times New Roman" w:cs="Times New Roman"/>
                  <w:lang w:val="pl-PL"/>
                </w:rPr>
                <w:t>Postępowanie administracyjne : ogólne, podatkowe, egzekucyjne i przed sądami administracyjnymi</w:t>
              </w:r>
            </w:hyperlink>
            <w:r w:rsidRPr="00CC421D">
              <w:rPr>
                <w:rStyle w:val="Hipercze"/>
                <w:rFonts w:ascii="Times New Roman" w:eastAsiaTheme="majorEastAsia" w:hAnsi="Times New Roman" w:cs="Times New Roman"/>
                <w:color w:val="auto"/>
                <w:u w:val="none"/>
                <w:lang w:val="pl-PL"/>
              </w:rPr>
              <w:t xml:space="preserve"> </w:t>
            </w:r>
            <w:hyperlink r:id="rId6" w:history="1">
              <w:r w:rsidRPr="00CC421D">
                <w:rPr>
                  <w:rStyle w:val="Hipercze"/>
                  <w:rFonts w:ascii="Times New Roman" w:eastAsiaTheme="majorEastAsia" w:hAnsi="Times New Roman" w:cs="Times New Roman"/>
                  <w:color w:val="auto"/>
                  <w:u w:val="none"/>
                  <w:lang w:val="pl-PL"/>
                </w:rPr>
                <w:t>Wydawnictwo C. H. Beck</w:t>
              </w:r>
            </w:hyperlink>
            <w:r w:rsidRPr="00CC421D">
              <w:rPr>
                <w:rStyle w:val="desc-o-publ"/>
                <w:rFonts w:ascii="Times New Roman" w:eastAsiaTheme="majorEastAsia" w:hAnsi="Times New Roman" w:cs="Times New Roman"/>
                <w:lang w:val="pl-PL"/>
              </w:rPr>
              <w:t>, 2012</w:t>
            </w:r>
            <w:r w:rsidR="00235D14" w:rsidRPr="00CC421D">
              <w:rPr>
                <w:rStyle w:val="desc-o-publ"/>
                <w:rFonts w:ascii="Times New Roman" w:eastAsiaTheme="majorEastAsia" w:hAnsi="Times New Roman" w:cs="Times New Roman"/>
                <w:lang w:val="pl-PL"/>
              </w:rPr>
              <w:t>,</w:t>
            </w:r>
          </w:p>
          <w:p w:rsidR="00235D14" w:rsidRPr="00CC421D" w:rsidRDefault="00235D14" w:rsidP="009C0CA3">
            <w:pPr>
              <w:pStyle w:val="Akapitzlist"/>
              <w:numPr>
                <w:ilvl w:val="0"/>
                <w:numId w:val="3"/>
              </w:numPr>
              <w:ind w:left="349" w:hanging="349"/>
              <w:rPr>
                <w:rFonts w:eastAsiaTheme="majorEastAsia"/>
                <w:lang w:val="pl-PL"/>
              </w:rPr>
            </w:pPr>
            <w:r w:rsidRPr="00CC421D">
              <w:rPr>
                <w:rStyle w:val="desc-o-publ"/>
                <w:rFonts w:ascii="Times New Roman" w:eastAsiaTheme="majorEastAsia" w:hAnsi="Times New Roman" w:cs="Times New Roman"/>
                <w:lang w:val="pl-PL"/>
              </w:rPr>
              <w:t>W. Goner (red.), Prawo podatkowe. Kazusy z rozwiązaniami, Wolters Kluwer Business 2015.</w:t>
            </w:r>
          </w:p>
        </w:tc>
      </w:tr>
      <w:tr w:rsidR="00FC3315" w:rsidRPr="003F0E22" w:rsidTr="009E7B8A">
        <w:tc>
          <w:tcPr>
            <w:tcW w:w="2660" w:type="dxa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F0E22" w:rsidRDefault="00235D14" w:rsidP="009E7B8A">
            <w:pPr>
              <w:jc w:val="both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M</w:t>
            </w:r>
            <w:r w:rsidR="00BC5DF8" w:rsidRPr="003F0E22">
              <w:rPr>
                <w:sz w:val="22"/>
                <w:szCs w:val="22"/>
              </w:rPr>
              <w:t>etody podające (wykład, wykład z prezentacją multimedialną, wykład problemowy, dyskusje). Metoda ćwiczeniowo - praktyczna w oparciu o kazusy</w:t>
            </w:r>
            <w:r w:rsidR="003F0E22" w:rsidRPr="003F0E22">
              <w:rPr>
                <w:sz w:val="22"/>
                <w:szCs w:val="22"/>
              </w:rPr>
              <w:t>.</w:t>
            </w:r>
          </w:p>
        </w:tc>
      </w:tr>
    </w:tbl>
    <w:p w:rsidR="009E7B8A" w:rsidRPr="003F0E22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3F0E22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F0E22" w:rsidRDefault="00FC3315" w:rsidP="009E7B8A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F0E22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3F0E22" w:rsidRDefault="00FC3315" w:rsidP="009E7B8A">
            <w:pPr>
              <w:jc w:val="center"/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Nr efektu uczenia się/grupy efektów</w:t>
            </w:r>
            <w:r w:rsidRPr="003F0E22">
              <w:rPr>
                <w:sz w:val="22"/>
                <w:szCs w:val="22"/>
              </w:rPr>
              <w:br/>
            </w:r>
          </w:p>
        </w:tc>
      </w:tr>
      <w:tr w:rsidR="00FC3315" w:rsidRPr="003F0E22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F0E22" w:rsidRDefault="00BC5DF8" w:rsidP="00FC3315">
            <w:pPr>
              <w:rPr>
                <w:sz w:val="22"/>
                <w:szCs w:val="22"/>
              </w:rPr>
            </w:pPr>
            <w:r w:rsidRPr="003F0E22">
              <w:rPr>
                <w:rFonts w:eastAsia="Calibri"/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F0E22" w:rsidRDefault="00BC5DF8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01,02,03,04</w:t>
            </w:r>
          </w:p>
        </w:tc>
      </w:tr>
      <w:tr w:rsidR="00FC3315" w:rsidRPr="003F0E22" w:rsidTr="00EA2D0E">
        <w:tc>
          <w:tcPr>
            <w:tcW w:w="8208" w:type="dxa"/>
            <w:gridSpan w:val="2"/>
          </w:tcPr>
          <w:p w:rsidR="00FC3315" w:rsidRPr="003F0E22" w:rsidRDefault="00BC5DF8" w:rsidP="00FC3315">
            <w:pPr>
              <w:rPr>
                <w:sz w:val="22"/>
                <w:szCs w:val="22"/>
              </w:rPr>
            </w:pPr>
            <w:r w:rsidRPr="003F0E22">
              <w:rPr>
                <w:rFonts w:eastAsia="Calibri"/>
                <w:sz w:val="22"/>
                <w:szCs w:val="22"/>
              </w:rPr>
              <w:t>Kolokwium obejmujące rozwiązywanie kazusów</w:t>
            </w:r>
          </w:p>
        </w:tc>
        <w:tc>
          <w:tcPr>
            <w:tcW w:w="1800" w:type="dxa"/>
          </w:tcPr>
          <w:p w:rsidR="00FC3315" w:rsidRPr="003F0E22" w:rsidRDefault="00BC5DF8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03,04,05,06</w:t>
            </w:r>
          </w:p>
        </w:tc>
      </w:tr>
      <w:tr w:rsidR="00FC3315" w:rsidRPr="003F0E22" w:rsidTr="00EA2D0E">
        <w:tc>
          <w:tcPr>
            <w:tcW w:w="8208" w:type="dxa"/>
            <w:gridSpan w:val="2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3F0E22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F0E22" w:rsidRDefault="00FC3315" w:rsidP="00FC3315">
            <w:pPr>
              <w:rPr>
                <w:sz w:val="22"/>
                <w:szCs w:val="22"/>
              </w:rPr>
            </w:pPr>
            <w:r w:rsidRPr="003F0E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F0E22" w:rsidRDefault="00BC5DF8" w:rsidP="00CC421D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3F0E22">
              <w:rPr>
                <w:rFonts w:eastAsia="Calibri"/>
                <w:sz w:val="22"/>
                <w:szCs w:val="22"/>
              </w:rPr>
              <w:t>Egzamin ustny -</w:t>
            </w:r>
            <w:r w:rsidR="006862A4">
              <w:rPr>
                <w:rFonts w:eastAsia="Calibri"/>
                <w:sz w:val="22"/>
                <w:szCs w:val="22"/>
              </w:rPr>
              <w:t xml:space="preserve"> </w:t>
            </w:r>
            <w:r w:rsidRPr="003F0E22">
              <w:rPr>
                <w:rFonts w:eastAsia="Calibri"/>
                <w:sz w:val="22"/>
                <w:szCs w:val="22"/>
              </w:rPr>
              <w:t>prawidłowa odpowiedź na co najmniej 2 z 3 zadanych pytań. Kolokwium -</w:t>
            </w:r>
            <w:r w:rsidR="006862A4">
              <w:rPr>
                <w:rFonts w:eastAsia="Calibri"/>
                <w:sz w:val="22"/>
                <w:szCs w:val="22"/>
              </w:rPr>
              <w:t xml:space="preserve"> </w:t>
            </w:r>
            <w:r w:rsidRPr="003F0E22">
              <w:rPr>
                <w:rFonts w:eastAsia="Calibri"/>
                <w:sz w:val="22"/>
                <w:szCs w:val="22"/>
              </w:rPr>
              <w:t>prawidłowe rozwiązanie co najmniej 2 z 3 zadanych do rozwiązania kazusów. Ocena z przedmiotu jest średnią arytmetyczną oceny z egzaminu i oceny z ćwiczeń.</w:t>
            </w:r>
            <w:bookmarkEnd w:id="0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066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662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662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650B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A518D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650B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A518D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0E22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235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009C0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C771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35D1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9C0CA3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C0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C3A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F0E22">
              <w:rPr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A0DB7"/>
    <w:multiLevelType w:val="hybridMultilevel"/>
    <w:tmpl w:val="A66E4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B1E3B"/>
    <w:multiLevelType w:val="hybridMultilevel"/>
    <w:tmpl w:val="D1DA4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518D"/>
    <w:rsid w:val="000A676A"/>
    <w:rsid w:val="000C760A"/>
    <w:rsid w:val="000E27F5"/>
    <w:rsid w:val="001576BD"/>
    <w:rsid w:val="00182D89"/>
    <w:rsid w:val="00183B8B"/>
    <w:rsid w:val="001C771A"/>
    <w:rsid w:val="00235D14"/>
    <w:rsid w:val="002C3A9C"/>
    <w:rsid w:val="00325E3C"/>
    <w:rsid w:val="00335D56"/>
    <w:rsid w:val="003F0E22"/>
    <w:rsid w:val="0040662B"/>
    <w:rsid w:val="00410D8C"/>
    <w:rsid w:val="00416716"/>
    <w:rsid w:val="004474A9"/>
    <w:rsid w:val="00473854"/>
    <w:rsid w:val="004E5184"/>
    <w:rsid w:val="0050790E"/>
    <w:rsid w:val="00563001"/>
    <w:rsid w:val="005A5B46"/>
    <w:rsid w:val="005D6BDF"/>
    <w:rsid w:val="00622034"/>
    <w:rsid w:val="006862A4"/>
    <w:rsid w:val="006D0930"/>
    <w:rsid w:val="00801B19"/>
    <w:rsid w:val="008020D5"/>
    <w:rsid w:val="008322AC"/>
    <w:rsid w:val="00837E28"/>
    <w:rsid w:val="008650B5"/>
    <w:rsid w:val="00865722"/>
    <w:rsid w:val="008A0657"/>
    <w:rsid w:val="008B224B"/>
    <w:rsid w:val="008C358C"/>
    <w:rsid w:val="009074ED"/>
    <w:rsid w:val="0098558E"/>
    <w:rsid w:val="009C0CA3"/>
    <w:rsid w:val="009E7B8A"/>
    <w:rsid w:val="009F5760"/>
    <w:rsid w:val="00A0703A"/>
    <w:rsid w:val="00BC5DF8"/>
    <w:rsid w:val="00C60C15"/>
    <w:rsid w:val="00C83126"/>
    <w:rsid w:val="00CC421D"/>
    <w:rsid w:val="00D240F4"/>
    <w:rsid w:val="00D466D8"/>
    <w:rsid w:val="00E32F86"/>
    <w:rsid w:val="00E40B0C"/>
    <w:rsid w:val="00E51D84"/>
    <w:rsid w:val="00E52746"/>
    <w:rsid w:val="00E54280"/>
    <w:rsid w:val="00E8548C"/>
    <w:rsid w:val="00E85590"/>
    <w:rsid w:val="00EA2C4A"/>
    <w:rsid w:val="00EC15EC"/>
    <w:rsid w:val="00EE2410"/>
    <w:rsid w:val="00F07FC7"/>
    <w:rsid w:val="00F14AB6"/>
    <w:rsid w:val="00F22F4E"/>
    <w:rsid w:val="00F935C0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styleId="Tabela-Siatka">
    <w:name w:val="Table Grid"/>
    <w:basedOn w:val="Standardowy"/>
    <w:uiPriority w:val="59"/>
    <w:unhideWhenUsed/>
    <w:rsid w:val="006D0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E8548C"/>
    <w:rPr>
      <w:color w:val="0000FF"/>
      <w:u w:val="single"/>
    </w:rPr>
  </w:style>
  <w:style w:type="character" w:customStyle="1" w:styleId="desc-o-publ">
    <w:name w:val="desc-o-publ"/>
    <w:basedOn w:val="Domylnaczcionkaakapitu"/>
    <w:rsid w:val="00E854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Wydawnictwo+C.+H.+Beck" TargetMode="External"/><Relationship Id="rId5" Type="http://schemas.openxmlformats.org/officeDocument/2006/relationships/hyperlink" Target="http://bu.pwsz.elblag.pl/sowacgi.php?KatID=0&amp;typ=record&amp;001=El140019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Krzysztof</cp:lastModifiedBy>
  <cp:revision>5</cp:revision>
  <dcterms:created xsi:type="dcterms:W3CDTF">2019-06-21T17:51:00Z</dcterms:created>
  <dcterms:modified xsi:type="dcterms:W3CDTF">2019-07-15T10:23:00Z</dcterms:modified>
</cp:coreProperties>
</file>